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B18D" w14:textId="24F15BAA" w:rsidR="00D55D3D" w:rsidRDefault="00D33CAE">
      <w:pPr>
        <w:rPr>
          <w:rFonts w:ascii="Open Sans" w:eastAsia="Times New Roman" w:hAnsi="Open Sans" w:cs="Open Sans"/>
          <w:color w:val="1C1D1E"/>
          <w:sz w:val="18"/>
          <w:szCs w:val="18"/>
        </w:rPr>
      </w:pPr>
      <w:r w:rsidRPr="00015252">
        <w:rPr>
          <w:rFonts w:ascii="Open Sans" w:eastAsia="Times New Roman" w:hAnsi="Open Sans" w:cs="Open Sans"/>
          <w:b/>
          <w:bCs/>
          <w:color w:val="1C1D1E"/>
          <w:sz w:val="18"/>
          <w:szCs w:val="18"/>
        </w:rPr>
        <w:t>Figure S1.</w:t>
      </w:r>
      <w:r w:rsidRPr="00015252">
        <w:rPr>
          <w:rFonts w:ascii="Open Sans" w:eastAsia="Times New Roman" w:hAnsi="Open Sans" w:cs="Open Sans"/>
          <w:color w:val="1C1D1E"/>
          <w:sz w:val="18"/>
          <w:szCs w:val="18"/>
        </w:rPr>
        <w:t> </w:t>
      </w:r>
      <w:r w:rsidRPr="00015252">
        <w:rPr>
          <w:rFonts w:ascii="Open Sans" w:eastAsia="Times New Roman" w:hAnsi="Open Sans" w:cs="Open Sans"/>
          <w:b/>
          <w:bCs/>
          <w:color w:val="1C1D1E"/>
          <w:sz w:val="18"/>
          <w:szCs w:val="18"/>
        </w:rPr>
        <w:t>Frequency distributions for the detected peak times for all ROIs for SCN each slice.</w:t>
      </w:r>
      <w:r w:rsidRPr="00015252">
        <w:rPr>
          <w:rFonts w:ascii="Open Sans" w:eastAsia="Times New Roman" w:hAnsi="Open Sans" w:cs="Open Sans"/>
          <w:color w:val="1C1D1E"/>
          <w:sz w:val="18"/>
          <w:szCs w:val="18"/>
        </w:rPr>
        <w:t> A, raw peak times for each slice with ChR2-Neg slices in red and VIP-ChR2 slices in blue. Green line represents the starting cutoff for inclusion (see Methods). Subsequent black lines represent 24 h intervals beginning at the starting cutoff used for peak number assignment in B. B, the peak number assignments from the ROI peak times shown in A. Based on the 24 h intervals beginning with the starting cutoff (green line), peaks occurring within each successive interval were assigned to the specified peak number.</w:t>
      </w:r>
    </w:p>
    <w:p w14:paraId="5A56461F" w14:textId="3ACD0A66" w:rsidR="00D33CAE" w:rsidRDefault="00D33CAE">
      <w:pPr>
        <w:rPr>
          <w:rFonts w:ascii="Open Sans" w:eastAsia="Times New Roman" w:hAnsi="Open Sans" w:cs="Open Sans"/>
          <w:color w:val="1C1D1E"/>
          <w:sz w:val="18"/>
          <w:szCs w:val="18"/>
        </w:rPr>
      </w:pPr>
    </w:p>
    <w:p w14:paraId="1AE6CCBB" w14:textId="77777777" w:rsidR="00D33CAE" w:rsidRPr="00D33CAE" w:rsidRDefault="00D33CAE" w:rsidP="00D33CAE">
      <w:pPr>
        <w:rPr>
          <w:rFonts w:ascii="Times New Roman" w:eastAsia="Times New Roman" w:hAnsi="Times New Roman" w:cs="Times New Roman"/>
        </w:rPr>
      </w:pPr>
      <w:r w:rsidRPr="00D33CAE">
        <w:rPr>
          <w:rFonts w:ascii="Open Sans" w:eastAsia="Times New Roman" w:hAnsi="Open Sans" w:cs="Open Sans"/>
          <w:b/>
          <w:bCs/>
          <w:color w:val="1C1D1E"/>
          <w:sz w:val="18"/>
          <w:szCs w:val="18"/>
          <w:shd w:val="clear" w:color="auto" w:fill="FFFFFF"/>
        </w:rPr>
        <w:t>Figure S2.</w:t>
      </w:r>
      <w:r w:rsidRPr="00D33CAE">
        <w:rPr>
          <w:rFonts w:ascii="Open Sans" w:eastAsia="Times New Roman" w:hAnsi="Open Sans" w:cs="Open Sans"/>
          <w:color w:val="1C1D1E"/>
          <w:sz w:val="18"/>
          <w:szCs w:val="18"/>
          <w:shd w:val="clear" w:color="auto" w:fill="FFFFFF"/>
        </w:rPr>
        <w:t> </w:t>
      </w:r>
      <w:r w:rsidRPr="00D33CAE">
        <w:rPr>
          <w:rFonts w:ascii="Open Sans" w:eastAsia="Times New Roman" w:hAnsi="Open Sans" w:cs="Open Sans"/>
          <w:b/>
          <w:bCs/>
          <w:color w:val="1C1D1E"/>
          <w:sz w:val="18"/>
          <w:szCs w:val="18"/>
          <w:shd w:val="clear" w:color="auto" w:fill="FFFFFF"/>
        </w:rPr>
        <w:t>Individual relative phase maps for each SCN slice used in the ex vivo analyses.</w:t>
      </w:r>
      <w:r w:rsidRPr="00D33CAE">
        <w:rPr>
          <w:rFonts w:ascii="Open Sans" w:eastAsia="Times New Roman" w:hAnsi="Open Sans" w:cs="Open Sans"/>
          <w:color w:val="1C1D1E"/>
          <w:sz w:val="18"/>
          <w:szCs w:val="18"/>
          <w:shd w:val="clear" w:color="auto" w:fill="FFFFFF"/>
        </w:rPr>
        <w:t> A, relative phase maps for the ChR2-Neg group. B, relative phase maps for the VIP-ChR2 group. In all maps, the relative phase is calculated as the difference, in hours of each ROI relative to the mean phase of the slice at that peak. Warmer colors represent delayed phase, cooler colors represent advanced phase.</w:t>
      </w:r>
    </w:p>
    <w:p w14:paraId="6714BD8C" w14:textId="2348D842" w:rsidR="00D33CAE" w:rsidRDefault="00D33CAE"/>
    <w:p w14:paraId="69372151" w14:textId="77777777" w:rsidR="00D33CAE" w:rsidRPr="00D33CAE" w:rsidRDefault="00D33CAE" w:rsidP="00D33CAE">
      <w:pPr>
        <w:rPr>
          <w:rFonts w:ascii="Times New Roman" w:eastAsia="Times New Roman" w:hAnsi="Times New Roman" w:cs="Times New Roman"/>
        </w:rPr>
      </w:pPr>
      <w:r w:rsidRPr="00D33CAE">
        <w:rPr>
          <w:rFonts w:ascii="Open Sans" w:eastAsia="Times New Roman" w:hAnsi="Open Sans" w:cs="Open Sans"/>
          <w:b/>
          <w:bCs/>
          <w:color w:val="1C1D1E"/>
          <w:sz w:val="18"/>
          <w:szCs w:val="18"/>
          <w:shd w:val="clear" w:color="auto" w:fill="FFFFFF"/>
        </w:rPr>
        <w:t>Figure S3.</w:t>
      </w:r>
      <w:r w:rsidRPr="00D33CAE">
        <w:rPr>
          <w:rFonts w:ascii="Open Sans" w:eastAsia="Times New Roman" w:hAnsi="Open Sans" w:cs="Open Sans"/>
          <w:color w:val="1C1D1E"/>
          <w:sz w:val="18"/>
          <w:szCs w:val="18"/>
          <w:shd w:val="clear" w:color="auto" w:fill="FFFFFF"/>
        </w:rPr>
        <w:t> </w:t>
      </w:r>
      <w:r w:rsidRPr="00D33CAE">
        <w:rPr>
          <w:rFonts w:ascii="Open Sans" w:eastAsia="Times New Roman" w:hAnsi="Open Sans" w:cs="Open Sans"/>
          <w:b/>
          <w:bCs/>
          <w:color w:val="1C1D1E"/>
          <w:sz w:val="18"/>
          <w:szCs w:val="18"/>
          <w:shd w:val="clear" w:color="auto" w:fill="FFFFFF"/>
        </w:rPr>
        <w:t>Left–right differences in the SCN are equivalent between groups.</w:t>
      </w:r>
      <w:r w:rsidRPr="00D33CAE">
        <w:rPr>
          <w:rFonts w:ascii="Open Sans" w:eastAsia="Times New Roman" w:hAnsi="Open Sans" w:cs="Open Sans"/>
          <w:color w:val="1C1D1E"/>
          <w:sz w:val="18"/>
          <w:szCs w:val="18"/>
          <w:shd w:val="clear" w:color="auto" w:fill="FFFFFF"/>
        </w:rPr>
        <w:t> </w:t>
      </w:r>
      <w:r w:rsidRPr="00D33CAE">
        <w:rPr>
          <w:rFonts w:ascii="Open Sans" w:eastAsia="Times New Roman" w:hAnsi="Open Sans" w:cs="Open Sans"/>
          <w:i/>
          <w:iCs/>
          <w:color w:val="1C1D1E"/>
          <w:sz w:val="18"/>
          <w:szCs w:val="18"/>
          <w:shd w:val="clear" w:color="auto" w:fill="FFFFFF"/>
        </w:rPr>
        <w:t>k</w:t>
      </w:r>
      <w:r w:rsidRPr="00D33CAE">
        <w:rPr>
          <w:rFonts w:ascii="Open Sans" w:eastAsia="Times New Roman" w:hAnsi="Open Sans" w:cs="Open Sans"/>
          <w:color w:val="1C1D1E"/>
          <w:sz w:val="18"/>
          <w:szCs w:val="18"/>
          <w:shd w:val="clear" w:color="auto" w:fill="FFFFFF"/>
        </w:rPr>
        <w:t>-means clustering of the left and right halves of the SCN from each slice of the ChR2-Neg (A) and VIP-ChR2 (B) groups. C, Left–right differences in median absolute deviation for each slice by cycle.</w:t>
      </w:r>
    </w:p>
    <w:p w14:paraId="3C9D29E7" w14:textId="0306123F" w:rsidR="00D33CAE" w:rsidRDefault="00D33CAE"/>
    <w:p w14:paraId="392FEF6E" w14:textId="77777777" w:rsidR="00D33CAE" w:rsidRPr="00D33CAE" w:rsidRDefault="00D33CAE" w:rsidP="00D33CAE">
      <w:pPr>
        <w:rPr>
          <w:rFonts w:ascii="Times New Roman" w:eastAsia="Times New Roman" w:hAnsi="Times New Roman" w:cs="Times New Roman"/>
        </w:rPr>
      </w:pPr>
      <w:r w:rsidRPr="00D33CAE">
        <w:rPr>
          <w:rFonts w:ascii="Open Sans" w:eastAsia="Times New Roman" w:hAnsi="Open Sans" w:cs="Open Sans"/>
          <w:b/>
          <w:bCs/>
          <w:color w:val="1C1D1E"/>
          <w:sz w:val="18"/>
          <w:szCs w:val="18"/>
          <w:shd w:val="clear" w:color="auto" w:fill="FFFFFF"/>
        </w:rPr>
        <w:t>Figure S4.</w:t>
      </w:r>
      <w:r w:rsidRPr="00D33CAE">
        <w:rPr>
          <w:rFonts w:ascii="Open Sans" w:eastAsia="Times New Roman" w:hAnsi="Open Sans" w:cs="Open Sans"/>
          <w:color w:val="1C1D1E"/>
          <w:sz w:val="18"/>
          <w:szCs w:val="18"/>
          <w:shd w:val="clear" w:color="auto" w:fill="FFFFFF"/>
        </w:rPr>
        <w:t> </w:t>
      </w:r>
      <w:r w:rsidRPr="00D33CAE">
        <w:rPr>
          <w:rFonts w:ascii="Open Sans" w:eastAsia="Times New Roman" w:hAnsi="Open Sans" w:cs="Open Sans"/>
          <w:b/>
          <w:bCs/>
          <w:color w:val="1C1D1E"/>
          <w:sz w:val="18"/>
          <w:szCs w:val="18"/>
          <w:shd w:val="clear" w:color="auto" w:fill="FFFFFF"/>
        </w:rPr>
        <w:t>Individual actograms for each mouse used in the in vivo analyses.</w:t>
      </w:r>
      <w:r w:rsidRPr="00D33CAE">
        <w:rPr>
          <w:rFonts w:ascii="Open Sans" w:eastAsia="Times New Roman" w:hAnsi="Open Sans" w:cs="Open Sans"/>
          <w:color w:val="1C1D1E"/>
          <w:sz w:val="18"/>
          <w:szCs w:val="18"/>
          <w:shd w:val="clear" w:color="auto" w:fill="FFFFFF"/>
        </w:rPr>
        <w:t> Actograms are double-plotted with 6-minute binning. Yellow region represents 8 h window of daily light exposure. Stimulation window (blue shading) was 8 h following lights off on the final 7 days of light exposure. Animals were attached to fiber optic implants on the second day of the records.</w:t>
      </w:r>
    </w:p>
    <w:p w14:paraId="264096D2" w14:textId="7F011E15" w:rsidR="00D33CAE" w:rsidRDefault="00D33CAE"/>
    <w:p w14:paraId="36C47420" w14:textId="77777777" w:rsidR="00D33CAE" w:rsidRPr="00D33CAE" w:rsidRDefault="00D33CAE" w:rsidP="00D33CAE">
      <w:pPr>
        <w:rPr>
          <w:rFonts w:ascii="Times New Roman" w:eastAsia="Times New Roman" w:hAnsi="Times New Roman" w:cs="Times New Roman"/>
        </w:rPr>
      </w:pPr>
      <w:r w:rsidRPr="00D33CAE">
        <w:rPr>
          <w:rFonts w:ascii="Open Sans" w:eastAsia="Times New Roman" w:hAnsi="Open Sans" w:cs="Open Sans"/>
          <w:b/>
          <w:bCs/>
          <w:color w:val="1C1D1E"/>
          <w:sz w:val="18"/>
          <w:szCs w:val="18"/>
          <w:shd w:val="clear" w:color="auto" w:fill="FFFFFF"/>
        </w:rPr>
        <w:t>Figure S5.</w:t>
      </w:r>
      <w:r w:rsidRPr="00D33CAE">
        <w:rPr>
          <w:rFonts w:ascii="Open Sans" w:eastAsia="Times New Roman" w:hAnsi="Open Sans" w:cs="Open Sans"/>
          <w:color w:val="1C1D1E"/>
          <w:sz w:val="18"/>
          <w:szCs w:val="18"/>
          <w:shd w:val="clear" w:color="auto" w:fill="FFFFFF"/>
        </w:rPr>
        <w:t> Entrained phase of the locomotor behavior rhythm for each mouse estimated excluding the first 24 h of DD (A) and using all 7 days of DD (B). The free-running period calculated excluding the first 24 h of DD.</w:t>
      </w:r>
    </w:p>
    <w:p w14:paraId="68EC04A3" w14:textId="29A7C86B" w:rsidR="00D33CAE" w:rsidRDefault="00D33CAE"/>
    <w:p w14:paraId="3B83F83F" w14:textId="77777777" w:rsidR="00D33CAE" w:rsidRPr="00D33CAE" w:rsidRDefault="00D33CAE" w:rsidP="00D33CAE">
      <w:pPr>
        <w:rPr>
          <w:rFonts w:ascii="Times New Roman" w:eastAsia="Times New Roman" w:hAnsi="Times New Roman" w:cs="Times New Roman"/>
        </w:rPr>
      </w:pPr>
      <w:r w:rsidRPr="00D33CAE">
        <w:rPr>
          <w:rFonts w:ascii="Open Sans" w:eastAsia="Times New Roman" w:hAnsi="Open Sans" w:cs="Open Sans"/>
          <w:b/>
          <w:bCs/>
          <w:color w:val="1C1D1E"/>
          <w:sz w:val="18"/>
          <w:szCs w:val="18"/>
          <w:shd w:val="clear" w:color="auto" w:fill="FFFFFF"/>
        </w:rPr>
        <w:t>Figure S6.</w:t>
      </w:r>
      <w:r w:rsidRPr="00D33CAE">
        <w:rPr>
          <w:rFonts w:ascii="Open Sans" w:eastAsia="Times New Roman" w:hAnsi="Open Sans" w:cs="Open Sans"/>
          <w:color w:val="1C1D1E"/>
          <w:sz w:val="18"/>
          <w:szCs w:val="18"/>
          <w:shd w:val="clear" w:color="auto" w:fill="FFFFFF"/>
        </w:rPr>
        <w:t xml:space="preserve"> Double-plotted median half-hourly-counts (A, C, E) and associated </w:t>
      </w:r>
      <w:proofErr w:type="spellStart"/>
      <w:r w:rsidRPr="00D33CAE">
        <w:rPr>
          <w:rFonts w:ascii="Open Sans" w:eastAsia="Times New Roman" w:hAnsi="Open Sans" w:cs="Open Sans"/>
          <w:color w:val="1C1D1E"/>
          <w:sz w:val="18"/>
          <w:szCs w:val="18"/>
          <w:shd w:val="clear" w:color="auto" w:fill="FFFFFF"/>
        </w:rPr>
        <w:t>acrophase</w:t>
      </w:r>
      <w:proofErr w:type="spellEnd"/>
      <w:r w:rsidRPr="00D33CAE">
        <w:rPr>
          <w:rFonts w:ascii="Open Sans" w:eastAsia="Times New Roman" w:hAnsi="Open Sans" w:cs="Open Sans"/>
          <w:color w:val="1C1D1E"/>
          <w:sz w:val="18"/>
          <w:szCs w:val="18"/>
          <w:shd w:val="clear" w:color="auto" w:fill="FFFFFF"/>
        </w:rPr>
        <w:t xml:space="preserve"> estimation (B, D, E) for each group in each day of Baseline (A, B), Stimulation (C, D), and DD (E, F). Yellow shading indicates light, blue shading indicates LED stimulation of the SCN. Dark blue represents the stimulation window on non-stimulation days (Baseline, DD), dark yellow represents the light window on DD days. Indicated </w:t>
      </w:r>
      <w:r w:rsidRPr="00D33CAE">
        <w:rPr>
          <w:rFonts w:ascii="Open Sans" w:eastAsia="Times New Roman" w:hAnsi="Open Sans" w:cs="Open Sans"/>
          <w:i/>
          <w:iCs/>
          <w:color w:val="1C1D1E"/>
          <w:sz w:val="18"/>
          <w:szCs w:val="18"/>
          <w:shd w:val="clear" w:color="auto" w:fill="FFFFFF"/>
        </w:rPr>
        <w:t>p</w:t>
      </w:r>
      <w:r w:rsidRPr="00D33CAE">
        <w:rPr>
          <w:rFonts w:ascii="Open Sans" w:eastAsia="Times New Roman" w:hAnsi="Open Sans" w:cs="Open Sans"/>
          <w:color w:val="1C1D1E"/>
          <w:sz w:val="18"/>
          <w:szCs w:val="18"/>
          <w:shd w:val="clear" w:color="auto" w:fill="FFFFFF"/>
        </w:rPr>
        <w:t> values are calculated by circular ANOVA. Dashed lines represent double-plotted data.</w:t>
      </w:r>
    </w:p>
    <w:p w14:paraId="24C06DB7" w14:textId="77777777" w:rsidR="00D33CAE" w:rsidRDefault="00D33CAE"/>
    <w:sectPr w:rsidR="00D33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CAE"/>
    <w:rsid w:val="00D33CAE"/>
    <w:rsid w:val="00D55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2BDEDC"/>
  <w15:chartTrackingRefBased/>
  <w15:docId w15:val="{DC2EBE92-9B60-464D-AAA6-E0D69532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151464">
      <w:bodyDiv w:val="1"/>
      <w:marLeft w:val="0"/>
      <w:marRight w:val="0"/>
      <w:marTop w:val="0"/>
      <w:marBottom w:val="0"/>
      <w:divBdr>
        <w:top w:val="none" w:sz="0" w:space="0" w:color="auto"/>
        <w:left w:val="none" w:sz="0" w:space="0" w:color="auto"/>
        <w:bottom w:val="none" w:sz="0" w:space="0" w:color="auto"/>
        <w:right w:val="none" w:sz="0" w:space="0" w:color="auto"/>
      </w:divBdr>
    </w:div>
    <w:div w:id="1424957711">
      <w:bodyDiv w:val="1"/>
      <w:marLeft w:val="0"/>
      <w:marRight w:val="0"/>
      <w:marTop w:val="0"/>
      <w:marBottom w:val="0"/>
      <w:divBdr>
        <w:top w:val="none" w:sz="0" w:space="0" w:color="auto"/>
        <w:left w:val="none" w:sz="0" w:space="0" w:color="auto"/>
        <w:bottom w:val="none" w:sz="0" w:space="0" w:color="auto"/>
        <w:right w:val="none" w:sz="0" w:space="0" w:color="auto"/>
      </w:divBdr>
    </w:div>
    <w:div w:id="1451703843">
      <w:bodyDiv w:val="1"/>
      <w:marLeft w:val="0"/>
      <w:marRight w:val="0"/>
      <w:marTop w:val="0"/>
      <w:marBottom w:val="0"/>
      <w:divBdr>
        <w:top w:val="none" w:sz="0" w:space="0" w:color="auto"/>
        <w:left w:val="none" w:sz="0" w:space="0" w:color="auto"/>
        <w:bottom w:val="none" w:sz="0" w:space="0" w:color="auto"/>
        <w:right w:val="none" w:sz="0" w:space="0" w:color="auto"/>
      </w:divBdr>
    </w:div>
    <w:div w:id="1509053935">
      <w:bodyDiv w:val="1"/>
      <w:marLeft w:val="0"/>
      <w:marRight w:val="0"/>
      <w:marTop w:val="0"/>
      <w:marBottom w:val="0"/>
      <w:divBdr>
        <w:top w:val="none" w:sz="0" w:space="0" w:color="auto"/>
        <w:left w:val="none" w:sz="0" w:space="0" w:color="auto"/>
        <w:bottom w:val="none" w:sz="0" w:space="0" w:color="auto"/>
        <w:right w:val="none" w:sz="0" w:space="0" w:color="auto"/>
      </w:divBdr>
    </w:div>
    <w:div w:id="191512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Hughey, Jake</dc:creator>
  <cp:keywords/>
  <dc:description/>
  <cp:lastModifiedBy>Hughey, Jake</cp:lastModifiedBy>
  <cp:revision>1</cp:revision>
  <dcterms:created xsi:type="dcterms:W3CDTF">2021-11-23T13:32:00Z</dcterms:created>
  <dcterms:modified xsi:type="dcterms:W3CDTF">2021-11-23T13:33:00Z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2c8cef-6f2b-4af1-b4ac-d815ff795cd6_Enabled">
    <vt:lpwstr>true</vt:lpwstr>
  </property>
  <property fmtid="{D5CDD505-2E9C-101B-9397-08002B2CF9AE}" pid="3" name="MSIP_Label_792c8cef-6f2b-4af1-b4ac-d815ff795cd6_SetDate">
    <vt:lpwstr>2021-11-23T13:32:46Z</vt:lpwstr>
  </property>
  <property fmtid="{D5CDD505-2E9C-101B-9397-08002B2CF9AE}" pid="4" name="MSIP_Label_792c8cef-6f2b-4af1-b4ac-d815ff795cd6_Method">
    <vt:lpwstr>Standard</vt:lpwstr>
  </property>
  <property fmtid="{D5CDD505-2E9C-101B-9397-08002B2CF9AE}" pid="5" name="MSIP_Label_792c8cef-6f2b-4af1-b4ac-d815ff795cd6_Name">
    <vt:lpwstr>VUMC General</vt:lpwstr>
  </property>
  <property fmtid="{D5CDD505-2E9C-101B-9397-08002B2CF9AE}" pid="6" name="MSIP_Label_792c8cef-6f2b-4af1-b4ac-d815ff795cd6_SiteId">
    <vt:lpwstr>ef575030-1424-4ed8-b83c-12c533d879ab</vt:lpwstr>
  </property>
  <property fmtid="{D5CDD505-2E9C-101B-9397-08002B2CF9AE}" pid="7" name="MSIP_Label_792c8cef-6f2b-4af1-b4ac-d815ff795cd6_ActionId">
    <vt:lpwstr>80291ace-0b46-41e3-8c37-26919a48ff79</vt:lpwstr>
  </property>
  <property fmtid="{D5CDD505-2E9C-101B-9397-08002B2CF9AE}" pid="8" name="MSIP_Label_792c8cef-6f2b-4af1-b4ac-d815ff795cd6_ContentBits">
    <vt:lpwstr>0</vt:lpwstr>
  </property>
</Properties>
</file>